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1BC0" w14:textId="38F24F54" w:rsidR="00B7490C" w:rsidRPr="00886CB0" w:rsidRDefault="00B7490C" w:rsidP="00EA6BAF">
      <w:pPr>
        <w:rPr>
          <w:rFonts w:ascii="Calibri" w:hAnsi="Calibri" w:cs="Calibri"/>
          <w:b/>
          <w:bCs/>
          <w:sz w:val="23"/>
          <w:szCs w:val="23"/>
        </w:rPr>
      </w:pPr>
    </w:p>
    <w:p w14:paraId="1C82BC70" w14:textId="77777777" w:rsidR="00EA6BAF" w:rsidRPr="007F0715" w:rsidRDefault="00EA6BAF" w:rsidP="00EA6BAF">
      <w:pPr>
        <w:rPr>
          <w:rFonts w:ascii="Calibri" w:hAnsi="Calibri" w:cs="Calibri"/>
          <w:b/>
          <w:bCs/>
          <w:sz w:val="23"/>
          <w:szCs w:val="23"/>
        </w:rPr>
      </w:pPr>
      <w:r w:rsidRPr="007F0715">
        <w:rPr>
          <w:rFonts w:ascii="Calibri" w:hAnsi="Calibri" w:cs="Calibri"/>
          <w:b/>
          <w:bCs/>
          <w:sz w:val="23"/>
          <w:szCs w:val="23"/>
        </w:rPr>
        <w:t>HOW</w:t>
      </w:r>
      <w:r w:rsidRPr="007F0715">
        <w:rPr>
          <w:rFonts w:ascii="Calibri" w:hAnsi="Calibri" w:cs="Calibri"/>
          <w:b/>
          <w:bCs/>
          <w:sz w:val="23"/>
          <w:szCs w:val="23"/>
        </w:rPr>
        <w:noBreakHyphen/>
        <w:t>TO GUIDE 3: Ethical Partnerships Risk Decision Tree</w:t>
      </w:r>
    </w:p>
    <w:p w14:paraId="5E83CE28" w14:textId="624DF781" w:rsidR="00EA6BAF" w:rsidRPr="007F0715" w:rsidRDefault="00D14717" w:rsidP="00EA6BAF">
      <w:p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i/>
          <w:iCs/>
          <w:sz w:val="23"/>
          <w:szCs w:val="23"/>
        </w:rPr>
        <w:t>This tool supports youth work organisations</w:t>
      </w:r>
      <w:r w:rsidR="00EA6BAF" w:rsidRPr="007F0715">
        <w:rPr>
          <w:rFonts w:ascii="Calibri" w:hAnsi="Calibri" w:cs="Calibri"/>
          <w:i/>
          <w:iCs/>
          <w:sz w:val="23"/>
          <w:szCs w:val="23"/>
        </w:rPr>
        <w:t xml:space="preserve"> to assess ethical, safeguarding, and reputational risks when considering a partnership</w:t>
      </w:r>
      <w:r w:rsidRPr="00886CB0">
        <w:rPr>
          <w:rFonts w:ascii="Calibri" w:hAnsi="Calibri" w:cs="Calibri"/>
          <w:i/>
          <w:iCs/>
          <w:sz w:val="23"/>
          <w:szCs w:val="23"/>
        </w:rPr>
        <w:t xml:space="preserve"> with a technology company. Sharing the outputs of this risk review process with the technology company counterpart encourages openness and transparency. Understanding how they are assessing perceived partnership risks would be advantageous – the onus shouldn’t sit with the youth work organisation to undertake the risk review alone.</w:t>
      </w:r>
    </w:p>
    <w:p w14:paraId="0188BA96" w14:textId="10B89A0A" w:rsidR="00EA6BAF" w:rsidRPr="00886CB0" w:rsidRDefault="00D14717" w:rsidP="00D14717">
      <w:pPr>
        <w:pStyle w:val="ListParagraph"/>
        <w:numPr>
          <w:ilvl w:val="0"/>
          <w:numId w:val="25"/>
        </w:num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sz w:val="23"/>
          <w:szCs w:val="23"/>
        </w:rPr>
        <w:t>USE THIS TOOL AT THE EARLIEST STAGE OF A POTENTIAL PARTNERSHIP</w:t>
      </w:r>
    </w:p>
    <w:p w14:paraId="756ACF1A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The decision tree is designed for initial risk scanning. Use it before signing agreements, submitting joint bids, or publicly announcing collaborations.</w:t>
      </w:r>
    </w:p>
    <w:p w14:paraId="0552D801" w14:textId="29E09505" w:rsidR="00EA6BAF" w:rsidRPr="007F0715" w:rsidRDefault="00EA6BAF" w:rsidP="00D14717">
      <w:pPr>
        <w:tabs>
          <w:tab w:val="num" w:pos="720"/>
        </w:tabs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It is intended for</w:t>
      </w:r>
      <w:r w:rsidR="00D14717" w:rsidRPr="00886CB0">
        <w:rPr>
          <w:rFonts w:ascii="Calibri" w:hAnsi="Calibri" w:cs="Calibri"/>
          <w:sz w:val="23"/>
          <w:szCs w:val="23"/>
        </w:rPr>
        <w:t xml:space="preserve"> y</w:t>
      </w:r>
      <w:r w:rsidRPr="007F0715">
        <w:rPr>
          <w:rFonts w:ascii="Calibri" w:hAnsi="Calibri" w:cs="Calibri"/>
          <w:sz w:val="23"/>
          <w:szCs w:val="23"/>
        </w:rPr>
        <w:t>outh workers</w:t>
      </w:r>
      <w:r w:rsidR="00D14717" w:rsidRPr="00886CB0">
        <w:rPr>
          <w:rFonts w:ascii="Calibri" w:hAnsi="Calibri" w:cs="Calibri"/>
          <w:sz w:val="23"/>
          <w:szCs w:val="23"/>
        </w:rPr>
        <w:t>, m</w:t>
      </w:r>
      <w:r w:rsidRPr="007F0715">
        <w:rPr>
          <w:rFonts w:ascii="Calibri" w:hAnsi="Calibri" w:cs="Calibri"/>
          <w:sz w:val="23"/>
          <w:szCs w:val="23"/>
        </w:rPr>
        <w:t>anagers</w:t>
      </w:r>
      <w:r w:rsidR="00D14717" w:rsidRPr="00886CB0">
        <w:rPr>
          <w:rFonts w:ascii="Calibri" w:hAnsi="Calibri" w:cs="Calibri"/>
          <w:sz w:val="23"/>
          <w:szCs w:val="23"/>
        </w:rPr>
        <w:t>, s</w:t>
      </w:r>
      <w:r w:rsidRPr="007F0715">
        <w:rPr>
          <w:rFonts w:ascii="Calibri" w:hAnsi="Calibri" w:cs="Calibri"/>
          <w:sz w:val="23"/>
          <w:szCs w:val="23"/>
        </w:rPr>
        <w:t>afeguarding leads</w:t>
      </w:r>
      <w:r w:rsidR="00D14717" w:rsidRPr="00886CB0">
        <w:rPr>
          <w:rFonts w:ascii="Calibri" w:hAnsi="Calibri" w:cs="Calibri"/>
          <w:sz w:val="23"/>
          <w:szCs w:val="23"/>
        </w:rPr>
        <w:t>, and t</w:t>
      </w:r>
      <w:r w:rsidRPr="007F0715">
        <w:rPr>
          <w:rFonts w:ascii="Calibri" w:hAnsi="Calibri" w:cs="Calibri"/>
          <w:sz w:val="23"/>
          <w:szCs w:val="23"/>
        </w:rPr>
        <w:t>rustees</w:t>
      </w:r>
      <w:r w:rsidR="00D14717" w:rsidRPr="00886CB0">
        <w:rPr>
          <w:rFonts w:ascii="Calibri" w:hAnsi="Calibri" w:cs="Calibri"/>
          <w:sz w:val="23"/>
          <w:szCs w:val="23"/>
        </w:rPr>
        <w:t>.</w:t>
      </w:r>
    </w:p>
    <w:p w14:paraId="5635555C" w14:textId="067A770E" w:rsidR="00EA6BAF" w:rsidRPr="00886CB0" w:rsidRDefault="00EA6BAF" w:rsidP="00D14717">
      <w:pPr>
        <w:pStyle w:val="ListParagraph"/>
        <w:numPr>
          <w:ilvl w:val="0"/>
          <w:numId w:val="25"/>
        </w:num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sz w:val="23"/>
          <w:szCs w:val="23"/>
        </w:rPr>
        <w:t>Start at the top and follow each question in sequence</w:t>
      </w:r>
    </w:p>
    <w:p w14:paraId="571890B3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1: Alignment with mission, values, and youth</w:t>
      </w:r>
      <w:r w:rsidRPr="007F0715">
        <w:rPr>
          <w:rFonts w:ascii="Calibri" w:hAnsi="Calibri" w:cs="Calibri"/>
          <w:sz w:val="23"/>
          <w:szCs w:val="23"/>
        </w:rPr>
        <w:noBreakHyphen/>
        <w:t>work ethics</w:t>
      </w:r>
    </w:p>
    <w:p w14:paraId="6473FA8B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 xml:space="preserve">If </w:t>
      </w:r>
      <w:r w:rsidRPr="007F0715">
        <w:rPr>
          <w:rFonts w:ascii="Calibri" w:hAnsi="Calibri" w:cs="Calibri"/>
          <w:i/>
          <w:iCs/>
          <w:sz w:val="23"/>
          <w:szCs w:val="23"/>
        </w:rPr>
        <w:t>no</w:t>
      </w:r>
      <w:r w:rsidRPr="007F0715">
        <w:rPr>
          <w:rFonts w:ascii="Calibri" w:hAnsi="Calibri" w:cs="Calibri"/>
          <w:sz w:val="23"/>
          <w:szCs w:val="23"/>
        </w:rPr>
        <w:t>, the tool instructs: DO NOT PROCEED.</w:t>
      </w:r>
    </w:p>
    <w:p w14:paraId="505F8654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2: Transparency and ethics of the tech partner’s motivations</w:t>
      </w:r>
    </w:p>
    <w:p w14:paraId="7BB12A91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If motivations are unclear or extractive, seek clarity.</w:t>
      </w:r>
      <w:r w:rsidRPr="007F0715">
        <w:rPr>
          <w:rFonts w:ascii="Calibri" w:hAnsi="Calibri" w:cs="Calibri"/>
          <w:sz w:val="23"/>
          <w:szCs w:val="23"/>
        </w:rPr>
        <w:br/>
        <w:t>If concerns cannot be resolved → DO NOT PROCEED.</w:t>
      </w:r>
    </w:p>
    <w:p w14:paraId="56BAE5A6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3: Identify any red flags</w:t>
      </w:r>
    </w:p>
    <w:p w14:paraId="5B08FD93" w14:textId="27C19DBC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Red flags include:</w:t>
      </w:r>
    </w:p>
    <w:p w14:paraId="02F4DC4E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Data exploitation</w:t>
      </w:r>
    </w:p>
    <w:p w14:paraId="06B43F08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Unsafe technologies</w:t>
      </w:r>
    </w:p>
    <w:p w14:paraId="4BE2CD35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Refusal to follow safeguarding</w:t>
      </w:r>
    </w:p>
    <w:p w14:paraId="56E736AC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Exploitative PR motives</w:t>
      </w:r>
    </w:p>
    <w:p w14:paraId="7F293986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Refusal to pay young people</w:t>
      </w:r>
    </w:p>
    <w:p w14:paraId="6B90D019" w14:textId="77777777" w:rsidR="00EA6BAF" w:rsidRPr="007F0715" w:rsidRDefault="00EA6BAF" w:rsidP="00EA6BAF">
      <w:pPr>
        <w:numPr>
          <w:ilvl w:val="0"/>
          <w:numId w:val="20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Reputational risk</w:t>
      </w:r>
    </w:p>
    <w:p w14:paraId="2D8C4A31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If red flags exist, ask whether concerns can be addressed; otherwise → DO NOT PROCEED.</w:t>
      </w:r>
    </w:p>
    <w:p w14:paraId="7A06FE0F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4: Safety, safeguarding, and responsible digital practice</w:t>
      </w:r>
    </w:p>
    <w:p w14:paraId="794D717E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Check whether the company meets your standards in:</w:t>
      </w:r>
    </w:p>
    <w:p w14:paraId="2B07EC48" w14:textId="77777777" w:rsidR="00EA6BAF" w:rsidRPr="007F0715" w:rsidRDefault="00EA6BAF" w:rsidP="00EA6BAF">
      <w:pPr>
        <w:numPr>
          <w:ilvl w:val="0"/>
          <w:numId w:val="21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Child protection</w:t>
      </w:r>
    </w:p>
    <w:p w14:paraId="6A004338" w14:textId="77777777" w:rsidR="00EA6BAF" w:rsidRPr="007F0715" w:rsidRDefault="00EA6BAF" w:rsidP="00EA6BAF">
      <w:pPr>
        <w:numPr>
          <w:ilvl w:val="0"/>
          <w:numId w:val="21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Online safety</w:t>
      </w:r>
    </w:p>
    <w:p w14:paraId="271FBCF9" w14:textId="77777777" w:rsidR="00EA6BAF" w:rsidRPr="007F0715" w:rsidRDefault="00EA6BAF" w:rsidP="00EA6BAF">
      <w:pPr>
        <w:numPr>
          <w:ilvl w:val="0"/>
          <w:numId w:val="21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lastRenderedPageBreak/>
        <w:t>Harm prevention</w:t>
      </w:r>
    </w:p>
    <w:p w14:paraId="07A15914" w14:textId="77777777" w:rsidR="00EA6BAF" w:rsidRPr="007F0715" w:rsidRDefault="00EA6BAF" w:rsidP="00EA6BAF">
      <w:pPr>
        <w:numPr>
          <w:ilvl w:val="0"/>
          <w:numId w:val="21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Data responsibility</w:t>
      </w:r>
    </w:p>
    <w:p w14:paraId="53E305B8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 xml:space="preserve">If not, judge whether risks can be mitigated contractually. </w:t>
      </w:r>
    </w:p>
    <w:p w14:paraId="475F3930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5: Youth involvement and fair compensation</w:t>
      </w:r>
    </w:p>
    <w:p w14:paraId="2B21BC02" w14:textId="3630329D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Partnerships should enable meaningful youth influence and fair recognition.</w:t>
      </w:r>
      <w:r w:rsidRPr="007F0715">
        <w:rPr>
          <w:rFonts w:ascii="Calibri" w:hAnsi="Calibri" w:cs="Calibri"/>
          <w:sz w:val="23"/>
          <w:szCs w:val="23"/>
        </w:rPr>
        <w:br/>
        <w:t>If not, redesign the partnership</w:t>
      </w:r>
      <w:r w:rsidR="00D14717" w:rsidRPr="00886CB0">
        <w:rPr>
          <w:rFonts w:ascii="Calibri" w:hAnsi="Calibri" w:cs="Calibri"/>
          <w:sz w:val="23"/>
          <w:szCs w:val="23"/>
        </w:rPr>
        <w:t>,</w:t>
      </w:r>
      <w:r w:rsidRPr="007F0715">
        <w:rPr>
          <w:rFonts w:ascii="Calibri" w:hAnsi="Calibri" w:cs="Calibri"/>
          <w:sz w:val="23"/>
          <w:szCs w:val="23"/>
        </w:rPr>
        <w:t xml:space="preserve"> if impossible → DO NOT PROCEED.</w:t>
      </w:r>
    </w:p>
    <w:p w14:paraId="48365CD6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Step 6–10: Assess practical and reputational conditions</w:t>
      </w:r>
    </w:p>
    <w:p w14:paraId="68945BDA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The remaining questions test whether:</w:t>
      </w:r>
    </w:p>
    <w:p w14:paraId="1E94996E" w14:textId="77777777" w:rsidR="00EA6BAF" w:rsidRPr="007F0715" w:rsidRDefault="00EA6BAF" w:rsidP="00EA6BAF">
      <w:pPr>
        <w:numPr>
          <w:ilvl w:val="0"/>
          <w:numId w:val="22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All relevant groups can participate safely/equally</w:t>
      </w:r>
    </w:p>
    <w:p w14:paraId="45CEE5A1" w14:textId="77777777" w:rsidR="00EA6BAF" w:rsidRPr="007F0715" w:rsidRDefault="00EA6BAF" w:rsidP="00EA6BAF">
      <w:pPr>
        <w:numPr>
          <w:ilvl w:val="0"/>
          <w:numId w:val="22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Data practices are safe and non</w:t>
      </w:r>
      <w:r w:rsidRPr="007F0715">
        <w:rPr>
          <w:rFonts w:ascii="Calibri" w:hAnsi="Calibri" w:cs="Calibri"/>
          <w:sz w:val="23"/>
          <w:szCs w:val="23"/>
        </w:rPr>
        <w:noBreakHyphen/>
        <w:t>exploitative</w:t>
      </w:r>
    </w:p>
    <w:p w14:paraId="2D4C3512" w14:textId="77777777" w:rsidR="00EA6BAF" w:rsidRPr="007F0715" w:rsidRDefault="00EA6BAF" w:rsidP="00EA6BAF">
      <w:pPr>
        <w:numPr>
          <w:ilvl w:val="0"/>
          <w:numId w:val="22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You have staff/time/resources to deliver safely</w:t>
      </w:r>
    </w:p>
    <w:p w14:paraId="5F9CB660" w14:textId="77777777" w:rsidR="00EA6BAF" w:rsidRPr="007F0715" w:rsidRDefault="00EA6BAF" w:rsidP="00EA6BAF">
      <w:pPr>
        <w:numPr>
          <w:ilvl w:val="0"/>
          <w:numId w:val="22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Funding conditions uphold good youth work</w:t>
      </w:r>
    </w:p>
    <w:p w14:paraId="1A0D5B9E" w14:textId="77777777" w:rsidR="00EA6BAF" w:rsidRPr="007F0715" w:rsidRDefault="00EA6BAF" w:rsidP="00EA6BAF">
      <w:pPr>
        <w:numPr>
          <w:ilvl w:val="0"/>
          <w:numId w:val="22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The partnership will enhance community trust</w:t>
      </w:r>
    </w:p>
    <w:p w14:paraId="0D806E9B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If barriers cannot be removed or conditions cannot be renegotiated → DO NOT PROCEED.</w:t>
      </w:r>
    </w:p>
    <w:p w14:paraId="131FD840" w14:textId="64B46A1E" w:rsidR="00EA6BAF" w:rsidRPr="00886CB0" w:rsidRDefault="00D14717" w:rsidP="00D14717">
      <w:pPr>
        <w:pStyle w:val="ListParagraph"/>
        <w:numPr>
          <w:ilvl w:val="0"/>
          <w:numId w:val="25"/>
        </w:num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sz w:val="23"/>
          <w:szCs w:val="23"/>
        </w:rPr>
        <w:t>DOCUMENT YOUR REASONING AT EACH STEP</w:t>
      </w:r>
    </w:p>
    <w:p w14:paraId="47B7BB9B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Capture:</w:t>
      </w:r>
    </w:p>
    <w:p w14:paraId="6EA51787" w14:textId="77777777" w:rsidR="00EA6BAF" w:rsidRPr="007F0715" w:rsidRDefault="00EA6BAF" w:rsidP="00EA6BAF">
      <w:pPr>
        <w:numPr>
          <w:ilvl w:val="0"/>
          <w:numId w:val="23"/>
        </w:numPr>
        <w:tabs>
          <w:tab w:val="num" w:pos="720"/>
        </w:tabs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Risks identified</w:t>
      </w:r>
    </w:p>
    <w:p w14:paraId="4E84774D" w14:textId="77777777" w:rsidR="00EA6BAF" w:rsidRPr="007F0715" w:rsidRDefault="00EA6BAF" w:rsidP="00EA6BAF">
      <w:pPr>
        <w:numPr>
          <w:ilvl w:val="0"/>
          <w:numId w:val="23"/>
        </w:numPr>
        <w:tabs>
          <w:tab w:val="num" w:pos="720"/>
        </w:tabs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Mitigations planned</w:t>
      </w:r>
    </w:p>
    <w:p w14:paraId="4AE1961F" w14:textId="77777777" w:rsidR="00EA6BAF" w:rsidRPr="007F0715" w:rsidRDefault="00EA6BAF" w:rsidP="00EA6BAF">
      <w:pPr>
        <w:numPr>
          <w:ilvl w:val="0"/>
          <w:numId w:val="23"/>
        </w:numPr>
        <w:tabs>
          <w:tab w:val="num" w:pos="720"/>
        </w:tabs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Any additional safeguards required</w:t>
      </w:r>
    </w:p>
    <w:p w14:paraId="4B48F23C" w14:textId="77777777" w:rsidR="00EA6BAF" w:rsidRPr="007F0715" w:rsidRDefault="00EA6BAF" w:rsidP="00EA6BAF">
      <w:pPr>
        <w:numPr>
          <w:ilvl w:val="0"/>
          <w:numId w:val="23"/>
        </w:numPr>
        <w:tabs>
          <w:tab w:val="num" w:pos="720"/>
        </w:tabs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Reasons for proceeding or stopping</w:t>
      </w:r>
    </w:p>
    <w:p w14:paraId="4881D2DF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This strengthens accountability and ensures transparency.</w:t>
      </w:r>
    </w:p>
    <w:p w14:paraId="37837E24" w14:textId="18DB4FB3" w:rsidR="00EA6BAF" w:rsidRPr="00886CB0" w:rsidRDefault="00D14717" w:rsidP="00D14717">
      <w:pPr>
        <w:pStyle w:val="ListParagraph"/>
        <w:numPr>
          <w:ilvl w:val="0"/>
          <w:numId w:val="25"/>
        </w:num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sz w:val="23"/>
          <w:szCs w:val="23"/>
        </w:rPr>
        <w:t>USE THE TOOL ALONGSIDE THE ETHICAL PARTNERSHIP CHARTER</w:t>
      </w:r>
    </w:p>
    <w:p w14:paraId="4A8B0FB5" w14:textId="40A78561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The charter sets the values</w:t>
      </w:r>
      <w:r w:rsidR="00D14717" w:rsidRPr="00886CB0">
        <w:rPr>
          <w:rFonts w:ascii="Calibri" w:hAnsi="Calibri" w:cs="Calibri"/>
          <w:sz w:val="23"/>
          <w:szCs w:val="23"/>
        </w:rPr>
        <w:t xml:space="preserve"> - t</w:t>
      </w:r>
      <w:r w:rsidRPr="007F0715">
        <w:rPr>
          <w:rFonts w:ascii="Calibri" w:hAnsi="Calibri" w:cs="Calibri"/>
          <w:sz w:val="23"/>
          <w:szCs w:val="23"/>
        </w:rPr>
        <w:t>he decision tree tests whether those values are achievable in practice.</w:t>
      </w:r>
      <w:r w:rsidR="00D14717" w:rsidRPr="00886CB0">
        <w:rPr>
          <w:rFonts w:ascii="Calibri" w:hAnsi="Calibri" w:cs="Calibri"/>
          <w:sz w:val="23"/>
          <w:szCs w:val="23"/>
        </w:rPr>
        <w:t xml:space="preserve"> </w:t>
      </w:r>
      <w:r w:rsidRPr="007F0715">
        <w:rPr>
          <w:rFonts w:ascii="Calibri" w:hAnsi="Calibri" w:cs="Calibri"/>
          <w:sz w:val="23"/>
          <w:szCs w:val="23"/>
        </w:rPr>
        <w:t>Used together, they give a comprehensive ethical foundation.</w:t>
      </w:r>
    </w:p>
    <w:p w14:paraId="53E66A6B" w14:textId="26F19413" w:rsidR="00EA6BAF" w:rsidRPr="00886CB0" w:rsidRDefault="00D14717" w:rsidP="00D14717">
      <w:pPr>
        <w:pStyle w:val="ListParagraph"/>
        <w:numPr>
          <w:ilvl w:val="0"/>
          <w:numId w:val="25"/>
        </w:numPr>
        <w:rPr>
          <w:rFonts w:ascii="Calibri" w:hAnsi="Calibri" w:cs="Calibri"/>
          <w:sz w:val="23"/>
          <w:szCs w:val="23"/>
        </w:rPr>
      </w:pPr>
      <w:r w:rsidRPr="00886CB0">
        <w:rPr>
          <w:rFonts w:ascii="Calibri" w:hAnsi="Calibri" w:cs="Calibri"/>
          <w:sz w:val="23"/>
          <w:szCs w:val="23"/>
        </w:rPr>
        <w:t>RE-RUN THE DECISION TREE IF CIRCUMSTANCES CHANGE</w:t>
      </w:r>
    </w:p>
    <w:p w14:paraId="498D78A4" w14:textId="77777777" w:rsidR="00EA6BAF" w:rsidRPr="007F0715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Reassess if:</w:t>
      </w:r>
    </w:p>
    <w:p w14:paraId="535A0963" w14:textId="77777777" w:rsidR="00EA6BAF" w:rsidRPr="007F0715" w:rsidRDefault="00EA6BAF" w:rsidP="00EA6BAF">
      <w:pPr>
        <w:numPr>
          <w:ilvl w:val="0"/>
          <w:numId w:val="24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New data practices emerge</w:t>
      </w:r>
    </w:p>
    <w:p w14:paraId="402704B0" w14:textId="77777777" w:rsidR="00EA6BAF" w:rsidRPr="007F0715" w:rsidRDefault="00EA6BAF" w:rsidP="00EA6BAF">
      <w:pPr>
        <w:numPr>
          <w:ilvl w:val="0"/>
          <w:numId w:val="24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Tech products update</w:t>
      </w:r>
    </w:p>
    <w:p w14:paraId="33EBB917" w14:textId="77777777" w:rsidR="00EA6BAF" w:rsidRPr="007F0715" w:rsidRDefault="00EA6BAF" w:rsidP="00EA6BAF">
      <w:pPr>
        <w:numPr>
          <w:ilvl w:val="0"/>
          <w:numId w:val="24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Staffing or funding changes</w:t>
      </w:r>
    </w:p>
    <w:p w14:paraId="7528896F" w14:textId="77777777" w:rsidR="00EA6BAF" w:rsidRPr="007F0715" w:rsidRDefault="00EA6BAF" w:rsidP="00EA6BAF">
      <w:pPr>
        <w:numPr>
          <w:ilvl w:val="0"/>
          <w:numId w:val="24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lastRenderedPageBreak/>
        <w:t>Red flags appear mid</w:t>
      </w:r>
      <w:r w:rsidRPr="007F0715">
        <w:rPr>
          <w:rFonts w:ascii="Calibri" w:hAnsi="Calibri" w:cs="Calibri"/>
          <w:sz w:val="23"/>
          <w:szCs w:val="23"/>
        </w:rPr>
        <w:noBreakHyphen/>
        <w:t>project</w:t>
      </w:r>
    </w:p>
    <w:p w14:paraId="2F2D5E9D" w14:textId="77777777" w:rsidR="00EA6BAF" w:rsidRPr="007F0715" w:rsidRDefault="00EA6BAF" w:rsidP="00EA6BAF">
      <w:pPr>
        <w:numPr>
          <w:ilvl w:val="0"/>
          <w:numId w:val="24"/>
        </w:num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Community concerns arise</w:t>
      </w:r>
    </w:p>
    <w:p w14:paraId="6CD402F7" w14:textId="6F28972C" w:rsidR="00EA6BAF" w:rsidRPr="00886CB0" w:rsidRDefault="00EA6BAF" w:rsidP="00EA6BAF">
      <w:pPr>
        <w:rPr>
          <w:rFonts w:ascii="Calibri" w:hAnsi="Calibri" w:cs="Calibri"/>
          <w:sz w:val="23"/>
          <w:szCs w:val="23"/>
        </w:rPr>
      </w:pPr>
      <w:r w:rsidRPr="007F0715">
        <w:rPr>
          <w:rFonts w:ascii="Calibri" w:hAnsi="Calibri" w:cs="Calibri"/>
          <w:sz w:val="23"/>
          <w:szCs w:val="23"/>
        </w:rPr>
        <w:t>This helps prevent drift into unsafe or unethical territory.</w:t>
      </w:r>
    </w:p>
    <w:sectPr w:rsidR="00EA6BAF" w:rsidRPr="00886CB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31CE" w14:textId="77777777" w:rsidR="009301BF" w:rsidRDefault="009301BF" w:rsidP="004539B9">
      <w:pPr>
        <w:spacing w:after="0" w:line="240" w:lineRule="auto"/>
      </w:pPr>
      <w:r>
        <w:separator/>
      </w:r>
    </w:p>
  </w:endnote>
  <w:endnote w:type="continuationSeparator" w:id="0">
    <w:p w14:paraId="0CA12F99" w14:textId="77777777" w:rsidR="009301BF" w:rsidRDefault="009301BF" w:rsidP="004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B4A5" w14:textId="0BC297FB" w:rsidR="004539B9" w:rsidRPr="004539B9" w:rsidRDefault="004539B9" w:rsidP="004539B9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</w:t>
    </w:r>
    <w:proofErr w:type="spellStart"/>
    <w:r w:rsidRPr="005A4260">
      <w:rPr>
        <w:sz w:val="14"/>
        <w:szCs w:val="14"/>
      </w:rPr>
      <w:t>Forr</w:t>
    </w:r>
    <w:proofErr w:type="spellEnd"/>
    <w:r w:rsidRPr="005A4260">
      <w:rPr>
        <w:sz w:val="14"/>
        <w:szCs w:val="14"/>
      </w:rPr>
      <w:t xml:space="preserve"> Data Ltd</w:t>
    </w:r>
    <w:r>
      <w:rPr>
        <w:sz w:val="14"/>
        <w:szCs w:val="14"/>
      </w:rPr>
      <w:t xml:space="preserve"> on behalf of </w:t>
    </w:r>
    <w:proofErr w:type="spellStart"/>
    <w:r>
      <w:rPr>
        <w:sz w:val="14"/>
        <w:szCs w:val="14"/>
      </w:rPr>
      <w:t>YouthLink</w:t>
    </w:r>
    <w:proofErr w:type="spellEnd"/>
    <w:r>
      <w:rPr>
        <w:sz w:val="14"/>
        <w:szCs w:val="14"/>
      </w:rPr>
      <w:t xml:space="preserve"> Scotland, funded by an INCLUDE+ Fellowship. This asset is par</w:t>
    </w:r>
    <w:r w:rsidRPr="005A4260">
      <w:rPr>
        <w:sz w:val="14"/>
        <w:szCs w:val="14"/>
      </w:rPr>
      <w:t xml:space="preserve">t of a wider toolkit of guidelines </w:t>
    </w:r>
    <w:r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AA6E" w14:textId="77777777" w:rsidR="009301BF" w:rsidRDefault="009301BF" w:rsidP="004539B9">
      <w:pPr>
        <w:spacing w:after="0" w:line="240" w:lineRule="auto"/>
      </w:pPr>
      <w:r>
        <w:separator/>
      </w:r>
    </w:p>
  </w:footnote>
  <w:footnote w:type="continuationSeparator" w:id="0">
    <w:p w14:paraId="5EA86B13" w14:textId="77777777" w:rsidR="009301BF" w:rsidRDefault="009301BF" w:rsidP="0045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9F59" w14:textId="5E5D875A" w:rsidR="004539B9" w:rsidRDefault="004539B9" w:rsidP="004539B9">
    <w:pPr>
      <w:pStyle w:val="Header"/>
      <w:jc w:val="right"/>
    </w:pPr>
    <w:r>
      <w:tab/>
    </w:r>
    <w:r>
      <w:rPr>
        <w:noProof/>
      </w:rPr>
      <w:drawing>
        <wp:inline distT="0" distB="0" distL="0" distR="0" wp14:anchorId="0C3D0E06" wp14:editId="1D4FC10B">
          <wp:extent cx="1675659" cy="540000"/>
          <wp:effectExtent l="0" t="0" r="1270" b="0"/>
          <wp:docPr id="1543155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AD73B4" wp14:editId="743C7669">
          <wp:extent cx="1274403" cy="540000"/>
          <wp:effectExtent l="0" t="0" r="2540" b="0"/>
          <wp:docPr id="1122636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F46"/>
    <w:multiLevelType w:val="multilevel"/>
    <w:tmpl w:val="8F3A14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FA1"/>
    <w:multiLevelType w:val="hybridMultilevel"/>
    <w:tmpl w:val="D1625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0DA"/>
    <w:multiLevelType w:val="hybridMultilevel"/>
    <w:tmpl w:val="FF503A74"/>
    <w:lvl w:ilvl="0" w:tplc="52A4F7D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7A10"/>
    <w:multiLevelType w:val="hybridMultilevel"/>
    <w:tmpl w:val="4F68A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5FA5"/>
    <w:multiLevelType w:val="hybridMultilevel"/>
    <w:tmpl w:val="07B88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A89"/>
    <w:multiLevelType w:val="multilevel"/>
    <w:tmpl w:val="4C049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05C39"/>
    <w:multiLevelType w:val="multilevel"/>
    <w:tmpl w:val="841A5F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904AC"/>
    <w:multiLevelType w:val="multilevel"/>
    <w:tmpl w:val="B1E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38"/>
    <w:multiLevelType w:val="multilevel"/>
    <w:tmpl w:val="D69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A6F65"/>
    <w:multiLevelType w:val="multilevel"/>
    <w:tmpl w:val="8F6833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E0B9A"/>
    <w:multiLevelType w:val="multilevel"/>
    <w:tmpl w:val="9BC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F25A1"/>
    <w:multiLevelType w:val="hybridMultilevel"/>
    <w:tmpl w:val="8690CB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3B8"/>
    <w:multiLevelType w:val="multilevel"/>
    <w:tmpl w:val="3BB04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BC47EA"/>
    <w:multiLevelType w:val="multilevel"/>
    <w:tmpl w:val="41142D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E5F66"/>
    <w:multiLevelType w:val="multilevel"/>
    <w:tmpl w:val="1EF0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4235D"/>
    <w:multiLevelType w:val="multilevel"/>
    <w:tmpl w:val="A0A21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64DD8"/>
    <w:multiLevelType w:val="hybridMultilevel"/>
    <w:tmpl w:val="301AB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81050"/>
    <w:multiLevelType w:val="multilevel"/>
    <w:tmpl w:val="F7B228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511C0"/>
    <w:multiLevelType w:val="multilevel"/>
    <w:tmpl w:val="6196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8D38D0"/>
    <w:multiLevelType w:val="multilevel"/>
    <w:tmpl w:val="931AE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55398"/>
    <w:multiLevelType w:val="multilevel"/>
    <w:tmpl w:val="6D12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460C2"/>
    <w:multiLevelType w:val="hybridMultilevel"/>
    <w:tmpl w:val="4D540B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54C45"/>
    <w:multiLevelType w:val="multilevel"/>
    <w:tmpl w:val="7B8077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F0134"/>
    <w:multiLevelType w:val="multilevel"/>
    <w:tmpl w:val="995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24FC3"/>
    <w:multiLevelType w:val="multilevel"/>
    <w:tmpl w:val="44D4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15023">
    <w:abstractNumId w:val="10"/>
  </w:num>
  <w:num w:numId="2" w16cid:durableId="334965240">
    <w:abstractNumId w:val="18"/>
  </w:num>
  <w:num w:numId="3" w16cid:durableId="307560694">
    <w:abstractNumId w:val="13"/>
  </w:num>
  <w:num w:numId="4" w16cid:durableId="893852829">
    <w:abstractNumId w:val="6"/>
  </w:num>
  <w:num w:numId="5" w16cid:durableId="133260812">
    <w:abstractNumId w:val="19"/>
  </w:num>
  <w:num w:numId="6" w16cid:durableId="136146306">
    <w:abstractNumId w:val="16"/>
  </w:num>
  <w:num w:numId="7" w16cid:durableId="1236547217">
    <w:abstractNumId w:val="2"/>
  </w:num>
  <w:num w:numId="8" w16cid:durableId="237372162">
    <w:abstractNumId w:val="3"/>
  </w:num>
  <w:num w:numId="9" w16cid:durableId="66156058">
    <w:abstractNumId w:val="1"/>
  </w:num>
  <w:num w:numId="10" w16cid:durableId="1190341176">
    <w:abstractNumId w:val="0"/>
  </w:num>
  <w:num w:numId="11" w16cid:durableId="1240947602">
    <w:abstractNumId w:val="14"/>
  </w:num>
  <w:num w:numId="12" w16cid:durableId="912467901">
    <w:abstractNumId w:val="12"/>
  </w:num>
  <w:num w:numId="13" w16cid:durableId="1957101811">
    <w:abstractNumId w:val="9"/>
  </w:num>
  <w:num w:numId="14" w16cid:durableId="291520511">
    <w:abstractNumId w:val="5"/>
  </w:num>
  <w:num w:numId="15" w16cid:durableId="774864219">
    <w:abstractNumId w:val="17"/>
  </w:num>
  <w:num w:numId="16" w16cid:durableId="269510937">
    <w:abstractNumId w:val="15"/>
  </w:num>
  <w:num w:numId="17" w16cid:durableId="463623755">
    <w:abstractNumId w:val="11"/>
  </w:num>
  <w:num w:numId="18" w16cid:durableId="976834314">
    <w:abstractNumId w:val="21"/>
  </w:num>
  <w:num w:numId="19" w16cid:durableId="752551388">
    <w:abstractNumId w:val="8"/>
  </w:num>
  <w:num w:numId="20" w16cid:durableId="50886122">
    <w:abstractNumId w:val="20"/>
  </w:num>
  <w:num w:numId="21" w16cid:durableId="230651832">
    <w:abstractNumId w:val="23"/>
  </w:num>
  <w:num w:numId="22" w16cid:durableId="283384999">
    <w:abstractNumId w:val="7"/>
  </w:num>
  <w:num w:numId="23" w16cid:durableId="2006083273">
    <w:abstractNumId w:val="22"/>
  </w:num>
  <w:num w:numId="24" w16cid:durableId="1192843154">
    <w:abstractNumId w:val="24"/>
  </w:num>
  <w:num w:numId="25" w16cid:durableId="116667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B9"/>
    <w:rsid w:val="000152B5"/>
    <w:rsid w:val="00024732"/>
    <w:rsid w:val="004539B9"/>
    <w:rsid w:val="00886CB0"/>
    <w:rsid w:val="009301BF"/>
    <w:rsid w:val="00B7490C"/>
    <w:rsid w:val="00BF4CB1"/>
    <w:rsid w:val="00D14717"/>
    <w:rsid w:val="00E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8475"/>
  <w15:chartTrackingRefBased/>
  <w15:docId w15:val="{5C123C0F-29FE-4C31-99C3-43321150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AF"/>
  </w:style>
  <w:style w:type="paragraph" w:styleId="Heading1">
    <w:name w:val="heading 1"/>
    <w:basedOn w:val="Normal"/>
    <w:next w:val="Normal"/>
    <w:link w:val="Heading1Char"/>
    <w:uiPriority w:val="9"/>
    <w:qFormat/>
    <w:rsid w:val="0045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9"/>
  </w:style>
  <w:style w:type="paragraph" w:styleId="Footer">
    <w:name w:val="footer"/>
    <w:basedOn w:val="Normal"/>
    <w:link w:val="FooterChar"/>
    <w:uiPriority w:val="99"/>
    <w:unhideWhenUsed/>
    <w:rsid w:val="00453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Props1.xml><?xml version="1.0" encoding="utf-8"?>
<ds:datastoreItem xmlns:ds="http://schemas.openxmlformats.org/officeDocument/2006/customXml" ds:itemID="{95A198DC-45FF-447A-87AB-F67B773708E0}"/>
</file>

<file path=customXml/itemProps2.xml><?xml version="1.0" encoding="utf-8"?>
<ds:datastoreItem xmlns:ds="http://schemas.openxmlformats.org/officeDocument/2006/customXml" ds:itemID="{30271EF7-A68F-4DFC-BFCF-92C14FA5C11B}"/>
</file>

<file path=customXml/itemProps3.xml><?xml version="1.0" encoding="utf-8"?>
<ds:datastoreItem xmlns:ds="http://schemas.openxmlformats.org/officeDocument/2006/customXml" ds:itemID="{A8002038-1641-4BC7-82A7-7B541E1E6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3</cp:revision>
  <cp:lastPrinted>2026-03-24T14:02:00Z</cp:lastPrinted>
  <dcterms:created xsi:type="dcterms:W3CDTF">2026-03-24T13:55:00Z</dcterms:created>
  <dcterms:modified xsi:type="dcterms:W3CDTF">2026-03-24T14:13:00Z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